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A0EA" w14:textId="77777777" w:rsidR="00DE12F4" w:rsidRPr="00D83C7B" w:rsidRDefault="00DE12F4">
      <w:pPr>
        <w:jc w:val="center"/>
        <w:rPr>
          <w:rFonts w:asciiTheme="majorHAnsi" w:hAnsiTheme="majorHAnsi" w:cstheme="majorHAnsi"/>
          <w:b/>
        </w:rPr>
      </w:pPr>
      <w:bookmarkStart w:id="0" w:name="_gjdgxs" w:colFirst="0" w:colLast="0"/>
      <w:bookmarkEnd w:id="0"/>
    </w:p>
    <w:p w14:paraId="7197A0EB" w14:textId="77777777" w:rsidR="00DE12F4" w:rsidRPr="00D83C7B" w:rsidRDefault="00C00F36">
      <w:pPr>
        <w:jc w:val="center"/>
        <w:rPr>
          <w:rFonts w:asciiTheme="majorHAnsi" w:hAnsiTheme="majorHAnsi" w:cstheme="majorHAnsi"/>
          <w:b/>
        </w:rPr>
      </w:pPr>
      <w:r w:rsidRPr="00D83C7B">
        <w:rPr>
          <w:rFonts w:asciiTheme="majorHAnsi" w:hAnsiTheme="majorHAnsi" w:cstheme="majorHAnsi"/>
          <w:b/>
        </w:rPr>
        <w:t>GLF Schools Job Description</w:t>
      </w:r>
    </w:p>
    <w:p w14:paraId="7197A0EC" w14:textId="77777777" w:rsidR="00DE12F4" w:rsidRPr="00D83C7B" w:rsidRDefault="00DE12F4">
      <w:pPr>
        <w:jc w:val="center"/>
        <w:rPr>
          <w:rFonts w:asciiTheme="majorHAnsi" w:hAnsiTheme="majorHAnsi" w:cstheme="majorHAnsi"/>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2549"/>
        <w:gridCol w:w="1961"/>
        <w:gridCol w:w="2240"/>
      </w:tblGrid>
      <w:tr w:rsidR="00DE12F4" w:rsidRPr="00D83C7B" w14:paraId="7197A0F1" w14:textId="77777777" w:rsidTr="00C00F36">
        <w:tc>
          <w:tcPr>
            <w:tcW w:w="2266" w:type="dxa"/>
            <w:shd w:val="clear" w:color="auto" w:fill="DBE5F1"/>
            <w:vAlign w:val="center"/>
          </w:tcPr>
          <w:p w14:paraId="7197A0ED" w14:textId="77777777" w:rsidR="00DE12F4" w:rsidRPr="00D83C7B" w:rsidRDefault="00C00F36">
            <w:pPr>
              <w:jc w:val="left"/>
              <w:rPr>
                <w:rFonts w:asciiTheme="majorHAnsi" w:hAnsiTheme="majorHAnsi" w:cstheme="majorHAnsi"/>
                <w:b/>
              </w:rPr>
            </w:pPr>
            <w:r w:rsidRPr="00D83C7B">
              <w:rPr>
                <w:rFonts w:asciiTheme="majorHAnsi" w:hAnsiTheme="majorHAnsi" w:cstheme="majorHAnsi"/>
                <w:b/>
              </w:rPr>
              <w:t>Job Title</w:t>
            </w:r>
          </w:p>
        </w:tc>
        <w:tc>
          <w:tcPr>
            <w:tcW w:w="2549" w:type="dxa"/>
            <w:vAlign w:val="center"/>
          </w:tcPr>
          <w:p w14:paraId="7197A0EE" w14:textId="1B64263A" w:rsidR="00DE12F4" w:rsidRPr="00D83C7B" w:rsidRDefault="00580B86">
            <w:pPr>
              <w:jc w:val="left"/>
              <w:rPr>
                <w:rFonts w:asciiTheme="majorHAnsi" w:hAnsiTheme="majorHAnsi" w:cstheme="majorHAnsi"/>
              </w:rPr>
            </w:pPr>
            <w:r w:rsidRPr="00D83C7B">
              <w:rPr>
                <w:rFonts w:asciiTheme="majorHAnsi" w:hAnsiTheme="majorHAnsi" w:cstheme="majorHAnsi"/>
              </w:rPr>
              <w:t>Trust Regional SENDCo</w:t>
            </w:r>
          </w:p>
        </w:tc>
        <w:tc>
          <w:tcPr>
            <w:tcW w:w="1961" w:type="dxa"/>
            <w:shd w:val="clear" w:color="auto" w:fill="DBE5F1"/>
            <w:vAlign w:val="center"/>
          </w:tcPr>
          <w:p w14:paraId="7197A0EF" w14:textId="77777777" w:rsidR="00DE12F4" w:rsidRPr="00D83C7B" w:rsidRDefault="00C00F36">
            <w:pPr>
              <w:jc w:val="left"/>
              <w:rPr>
                <w:rFonts w:asciiTheme="majorHAnsi" w:hAnsiTheme="majorHAnsi" w:cstheme="majorHAnsi"/>
                <w:b/>
              </w:rPr>
            </w:pPr>
            <w:r w:rsidRPr="00D83C7B">
              <w:rPr>
                <w:rFonts w:asciiTheme="majorHAnsi" w:hAnsiTheme="majorHAnsi" w:cstheme="majorHAnsi"/>
                <w:b/>
              </w:rPr>
              <w:t>Job Reference</w:t>
            </w:r>
          </w:p>
        </w:tc>
        <w:tc>
          <w:tcPr>
            <w:tcW w:w="2240" w:type="dxa"/>
            <w:vAlign w:val="center"/>
          </w:tcPr>
          <w:p w14:paraId="7197A0F0" w14:textId="36CEC6F3" w:rsidR="00DE12F4" w:rsidRPr="00D83C7B" w:rsidRDefault="00DE12F4">
            <w:pPr>
              <w:jc w:val="left"/>
              <w:rPr>
                <w:rFonts w:asciiTheme="majorHAnsi" w:hAnsiTheme="majorHAnsi" w:cstheme="majorHAnsi"/>
              </w:rPr>
            </w:pPr>
          </w:p>
        </w:tc>
      </w:tr>
      <w:tr w:rsidR="00DE12F4" w:rsidRPr="00D83C7B" w14:paraId="7197A0F6" w14:textId="77777777" w:rsidTr="00C00F36">
        <w:tc>
          <w:tcPr>
            <w:tcW w:w="2266" w:type="dxa"/>
            <w:shd w:val="clear" w:color="auto" w:fill="DBE5F1"/>
            <w:vAlign w:val="center"/>
          </w:tcPr>
          <w:p w14:paraId="7197A0F2" w14:textId="6A0C4823" w:rsidR="00DE12F4" w:rsidRPr="00D83C7B" w:rsidRDefault="00580B86">
            <w:pPr>
              <w:jc w:val="left"/>
              <w:rPr>
                <w:rFonts w:asciiTheme="majorHAnsi" w:hAnsiTheme="majorHAnsi" w:cstheme="majorHAnsi"/>
                <w:b/>
              </w:rPr>
            </w:pPr>
            <w:r w:rsidRPr="00D83C7B">
              <w:rPr>
                <w:rFonts w:asciiTheme="majorHAnsi" w:hAnsiTheme="majorHAnsi" w:cstheme="majorHAnsi"/>
                <w:b/>
              </w:rPr>
              <w:t>Salary</w:t>
            </w:r>
          </w:p>
        </w:tc>
        <w:tc>
          <w:tcPr>
            <w:tcW w:w="2549" w:type="dxa"/>
            <w:vAlign w:val="center"/>
          </w:tcPr>
          <w:p w14:paraId="7197A0F3" w14:textId="1351F604" w:rsidR="00DE12F4" w:rsidRPr="00D83C7B" w:rsidRDefault="00580B86">
            <w:pPr>
              <w:jc w:val="left"/>
              <w:rPr>
                <w:rFonts w:asciiTheme="majorHAnsi" w:hAnsiTheme="majorHAnsi" w:cstheme="majorHAnsi"/>
              </w:rPr>
            </w:pPr>
            <w:r w:rsidRPr="00D83C7B">
              <w:rPr>
                <w:rFonts w:asciiTheme="majorHAnsi" w:hAnsiTheme="majorHAnsi" w:cstheme="majorHAnsi"/>
              </w:rPr>
              <w:t>MPS/UPR + SEN Allowance</w:t>
            </w:r>
          </w:p>
        </w:tc>
        <w:tc>
          <w:tcPr>
            <w:tcW w:w="1961" w:type="dxa"/>
            <w:shd w:val="clear" w:color="auto" w:fill="DBE5F1"/>
            <w:vAlign w:val="center"/>
          </w:tcPr>
          <w:p w14:paraId="7197A0F4" w14:textId="65616377" w:rsidR="00DE12F4" w:rsidRPr="00D83C7B" w:rsidRDefault="00580B86">
            <w:pPr>
              <w:jc w:val="left"/>
              <w:rPr>
                <w:rFonts w:asciiTheme="majorHAnsi" w:hAnsiTheme="majorHAnsi" w:cstheme="majorHAnsi"/>
                <w:b/>
              </w:rPr>
            </w:pPr>
            <w:r w:rsidRPr="00D83C7B">
              <w:rPr>
                <w:rFonts w:asciiTheme="majorHAnsi" w:hAnsiTheme="majorHAnsi" w:cstheme="majorHAnsi"/>
                <w:b/>
              </w:rPr>
              <w:t>Location</w:t>
            </w:r>
          </w:p>
        </w:tc>
        <w:tc>
          <w:tcPr>
            <w:tcW w:w="2240" w:type="dxa"/>
            <w:vAlign w:val="center"/>
          </w:tcPr>
          <w:p w14:paraId="7197A0F5" w14:textId="300199BC" w:rsidR="00DE12F4" w:rsidRPr="00D83C7B" w:rsidRDefault="00580B86">
            <w:pPr>
              <w:jc w:val="left"/>
              <w:rPr>
                <w:rFonts w:asciiTheme="majorHAnsi" w:hAnsiTheme="majorHAnsi" w:cstheme="majorHAnsi"/>
              </w:rPr>
            </w:pPr>
            <w:r w:rsidRPr="00D83C7B">
              <w:rPr>
                <w:rFonts w:asciiTheme="majorHAnsi" w:hAnsiTheme="majorHAnsi" w:cstheme="majorHAnsi"/>
              </w:rPr>
              <w:t>Wokingham &amp; Oxfordshire</w:t>
            </w:r>
          </w:p>
        </w:tc>
      </w:tr>
      <w:tr w:rsidR="00DE12F4" w:rsidRPr="00D83C7B" w14:paraId="7197A0FF" w14:textId="77777777">
        <w:tc>
          <w:tcPr>
            <w:tcW w:w="9016" w:type="dxa"/>
            <w:gridSpan w:val="4"/>
            <w:shd w:val="clear" w:color="auto" w:fill="DBE5F1"/>
          </w:tcPr>
          <w:p w14:paraId="7197A0FE" w14:textId="77777777" w:rsidR="00DE12F4" w:rsidRPr="00D83C7B" w:rsidRDefault="00C00F36">
            <w:pPr>
              <w:rPr>
                <w:rFonts w:asciiTheme="majorHAnsi" w:hAnsiTheme="majorHAnsi" w:cstheme="majorHAnsi"/>
                <w:b/>
              </w:rPr>
            </w:pPr>
            <w:r w:rsidRPr="00D83C7B">
              <w:rPr>
                <w:rFonts w:asciiTheme="majorHAnsi" w:hAnsiTheme="majorHAnsi" w:cstheme="majorHAnsi"/>
                <w:b/>
              </w:rPr>
              <w:t>Core purpose</w:t>
            </w:r>
          </w:p>
        </w:tc>
      </w:tr>
      <w:tr w:rsidR="00DE12F4" w:rsidRPr="00D83C7B" w14:paraId="7197A105" w14:textId="77777777">
        <w:tc>
          <w:tcPr>
            <w:tcW w:w="9016" w:type="dxa"/>
            <w:gridSpan w:val="4"/>
          </w:tcPr>
          <w:p w14:paraId="7197A100" w14:textId="77777777" w:rsidR="00DE12F4" w:rsidRPr="00D83C7B" w:rsidRDefault="00DE12F4">
            <w:pPr>
              <w:rPr>
                <w:rFonts w:asciiTheme="majorHAnsi" w:eastAsia="Open Sans" w:hAnsiTheme="majorHAnsi" w:cstheme="majorHAnsi"/>
              </w:rPr>
            </w:pPr>
          </w:p>
          <w:p w14:paraId="7D9DDBBD" w14:textId="77777777" w:rsidR="00580B86" w:rsidRPr="00D83C7B" w:rsidRDefault="00580B86" w:rsidP="00580B86">
            <w:pPr>
              <w:rPr>
                <w:rFonts w:asciiTheme="majorHAnsi" w:eastAsiaTheme="minorEastAsia" w:hAnsiTheme="majorHAnsi" w:cstheme="majorHAnsi"/>
              </w:rPr>
            </w:pPr>
            <w:r w:rsidRPr="00D83C7B">
              <w:rPr>
                <w:rFonts w:asciiTheme="majorHAnsi" w:eastAsiaTheme="minorEastAsia" w:hAnsiTheme="majorHAnsi" w:cstheme="majorHAnsi"/>
              </w:rPr>
              <w:t xml:space="preserve">The Trust Regional SENDCo will provide </w:t>
            </w:r>
            <w:r w:rsidRPr="00D83C7B">
              <w:rPr>
                <w:rFonts w:asciiTheme="majorHAnsi" w:eastAsiaTheme="minorEastAsia" w:hAnsiTheme="majorHAnsi" w:cstheme="majorHAnsi"/>
                <w:b/>
                <w:bCs/>
              </w:rPr>
              <w:t xml:space="preserve">additional capacity and expertise to schools in our Oxfordshire and Wokingham region </w:t>
            </w:r>
            <w:r w:rsidRPr="00D83C7B">
              <w:rPr>
                <w:rFonts w:asciiTheme="majorHAnsi" w:eastAsiaTheme="minorEastAsia" w:hAnsiTheme="majorHAnsi" w:cstheme="majorHAnsi"/>
              </w:rPr>
              <w:t xml:space="preserve">supporting them to deliver high-quality SEND provision. This includes providing practical, ‘hands on’ capacity and support with statutory processes, advising on best practice, support and guidance around Alternative Provision including Quality Assurance, and strengthening inclusive strategies across the region. The role ensures compliance with statutory requirements while enabling schools to improve outcomes for pupils with SEND through targeted support and collaborative working. </w:t>
            </w:r>
          </w:p>
          <w:p w14:paraId="142C06C9" w14:textId="77777777" w:rsidR="00580B86" w:rsidRPr="00D83C7B" w:rsidRDefault="00580B86" w:rsidP="00580B86">
            <w:pPr>
              <w:rPr>
                <w:rFonts w:asciiTheme="majorHAnsi" w:hAnsiTheme="majorHAnsi" w:cstheme="majorHAnsi"/>
              </w:rPr>
            </w:pPr>
          </w:p>
          <w:p w14:paraId="11B27CBD" w14:textId="72A98EFA" w:rsidR="00BB06C0" w:rsidRPr="00D83C7B" w:rsidRDefault="00580B86" w:rsidP="00580B86">
            <w:pPr>
              <w:rPr>
                <w:rFonts w:asciiTheme="majorHAnsi" w:eastAsia="Open Sans" w:hAnsiTheme="majorHAnsi" w:cstheme="majorHAnsi"/>
              </w:rPr>
            </w:pPr>
            <w:r w:rsidRPr="00D83C7B">
              <w:rPr>
                <w:rFonts w:asciiTheme="majorHAnsi" w:eastAsia="Aptos" w:hAnsiTheme="majorHAnsi" w:cstheme="majorHAnsi"/>
              </w:rPr>
              <w:t>As a member of the SST Inclusion Team at GLF, you’ll play a pivotal role in shaping inclusive practice across a large and diverse family of schools. This position offers the chance to make a real difference for all our children and young people, and especially those with additional educational needs, ensuring they receive the support they need to thrive. You’ll work collaboratively with passionate professionals, influence strategic decisions, and see the impact of your work across multiple settings</w:t>
            </w:r>
            <w:r w:rsidRPr="00D83C7B">
              <w:rPr>
                <w:rFonts w:asciiTheme="majorHAnsi" w:eastAsia="Aptos" w:hAnsiTheme="majorHAnsi" w:cstheme="majorHAnsi"/>
              </w:rPr>
              <w:t>.</w:t>
            </w:r>
          </w:p>
          <w:p w14:paraId="5329E664" w14:textId="77777777" w:rsidR="00BB06C0" w:rsidRPr="00D83C7B" w:rsidRDefault="00BB06C0">
            <w:pPr>
              <w:rPr>
                <w:rFonts w:asciiTheme="majorHAnsi" w:eastAsia="Open Sans" w:hAnsiTheme="majorHAnsi" w:cstheme="majorHAnsi"/>
              </w:rPr>
            </w:pPr>
          </w:p>
          <w:p w14:paraId="7197A104" w14:textId="77777777" w:rsidR="00DE12F4" w:rsidRPr="00D83C7B" w:rsidRDefault="00DE12F4" w:rsidP="00BB06C0">
            <w:pPr>
              <w:rPr>
                <w:rFonts w:asciiTheme="majorHAnsi" w:eastAsia="Open Sans" w:hAnsiTheme="majorHAnsi" w:cstheme="majorHAnsi"/>
              </w:rPr>
            </w:pPr>
          </w:p>
        </w:tc>
      </w:tr>
      <w:tr w:rsidR="00DE12F4" w:rsidRPr="00D83C7B" w14:paraId="7197A107" w14:textId="77777777">
        <w:tc>
          <w:tcPr>
            <w:tcW w:w="9016" w:type="dxa"/>
            <w:gridSpan w:val="4"/>
            <w:shd w:val="clear" w:color="auto" w:fill="DBE5F1"/>
          </w:tcPr>
          <w:p w14:paraId="7197A106" w14:textId="77777777" w:rsidR="00DE12F4" w:rsidRPr="00D83C7B" w:rsidRDefault="00C00F36">
            <w:pPr>
              <w:rPr>
                <w:rFonts w:asciiTheme="majorHAnsi" w:eastAsia="Open Sans" w:hAnsiTheme="majorHAnsi" w:cstheme="majorHAnsi"/>
              </w:rPr>
            </w:pPr>
            <w:r w:rsidRPr="00D83C7B">
              <w:rPr>
                <w:rFonts w:asciiTheme="majorHAnsi" w:eastAsia="Open Sans" w:hAnsiTheme="majorHAnsi" w:cstheme="majorHAnsi"/>
              </w:rPr>
              <w:t>Main Duties</w:t>
            </w:r>
          </w:p>
        </w:tc>
      </w:tr>
      <w:tr w:rsidR="00DE12F4" w:rsidRPr="00D83C7B" w14:paraId="7197A116" w14:textId="77777777">
        <w:tc>
          <w:tcPr>
            <w:tcW w:w="9016" w:type="dxa"/>
            <w:gridSpan w:val="4"/>
          </w:tcPr>
          <w:p w14:paraId="13506D86" w14:textId="77777777" w:rsidR="00BB06C0" w:rsidRPr="00D83C7B" w:rsidRDefault="00BB06C0" w:rsidP="00BB06C0">
            <w:pPr>
              <w:ind w:left="720"/>
              <w:rPr>
                <w:rFonts w:asciiTheme="majorHAnsi" w:eastAsia="Open Sans" w:hAnsiTheme="majorHAnsi" w:cstheme="majorHAnsi"/>
              </w:rPr>
            </w:pPr>
          </w:p>
          <w:p w14:paraId="595ABC81"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Annual Reviews:</w:t>
            </w:r>
            <w:r w:rsidRPr="00D83C7B">
              <w:rPr>
                <w:rFonts w:asciiTheme="majorHAnsi" w:eastAsiaTheme="minorEastAsia" w:hAnsiTheme="majorHAnsi" w:cstheme="majorHAnsi"/>
              </w:rPr>
              <w:t xml:space="preserve"> Provide additional capacity and/or support with EHCP Annual Reviews across the region, ensuring timelines and statutory requirements are met.</w:t>
            </w:r>
          </w:p>
          <w:p w14:paraId="08FE7F5A"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Consultation Responses:</w:t>
            </w:r>
            <w:r w:rsidRPr="00D83C7B">
              <w:rPr>
                <w:rFonts w:asciiTheme="majorHAnsi" w:eastAsiaTheme="minorEastAsia" w:hAnsiTheme="majorHAnsi" w:cstheme="majorHAnsi"/>
              </w:rPr>
              <w:t xml:space="preserve"> Supporting responses to Local Authority consultations for placements and provision.</w:t>
            </w:r>
          </w:p>
          <w:p w14:paraId="2668550C"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EHCNA Requests:</w:t>
            </w:r>
            <w:r w:rsidRPr="00D83C7B">
              <w:rPr>
                <w:rFonts w:asciiTheme="majorHAnsi" w:eastAsiaTheme="minorEastAsia" w:hAnsiTheme="majorHAnsi" w:cstheme="majorHAnsi"/>
              </w:rPr>
              <w:t xml:space="preserve"> Support schools with Education, Health and Care Needs Assessment (EHCNA) applications and evidence gathering.</w:t>
            </w:r>
          </w:p>
          <w:p w14:paraId="0B936D6D"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Staff Training:</w:t>
            </w:r>
            <w:r w:rsidRPr="00D83C7B">
              <w:rPr>
                <w:rFonts w:asciiTheme="majorHAnsi" w:eastAsiaTheme="minorEastAsia" w:hAnsiTheme="majorHAnsi" w:cstheme="majorHAnsi"/>
              </w:rPr>
              <w:t xml:space="preserve"> Design and deliver CPD sessions for staff on SEND legislation, inclusive strategies, and best practice.</w:t>
            </w:r>
          </w:p>
          <w:p w14:paraId="31D9ADB0"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Compliance &amp; Policy:</w:t>
            </w:r>
            <w:r w:rsidRPr="00D83C7B">
              <w:rPr>
                <w:rFonts w:asciiTheme="majorHAnsi" w:eastAsiaTheme="minorEastAsia" w:hAnsiTheme="majorHAnsi" w:cstheme="majorHAnsi"/>
              </w:rPr>
              <w:t xml:space="preserve"> Ensure adherence to SEND Code of Practice and maintain up-to-date policies, which may include investigation of Stage 2 complaints.</w:t>
            </w:r>
          </w:p>
          <w:p w14:paraId="06E91088"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Data &amp; Monitoring:</w:t>
            </w:r>
            <w:r w:rsidRPr="00D83C7B">
              <w:rPr>
                <w:rFonts w:asciiTheme="majorHAnsi" w:eastAsiaTheme="minorEastAsia" w:hAnsiTheme="majorHAnsi" w:cstheme="majorHAnsi"/>
              </w:rPr>
              <w:t xml:space="preserve"> Provide support with effective use of systems including </w:t>
            </w:r>
            <w:proofErr w:type="spellStart"/>
            <w:r w:rsidRPr="00D83C7B">
              <w:rPr>
                <w:rFonts w:asciiTheme="majorHAnsi" w:eastAsiaTheme="minorEastAsia" w:hAnsiTheme="majorHAnsi" w:cstheme="majorHAnsi"/>
              </w:rPr>
              <w:t>Bromcom</w:t>
            </w:r>
            <w:proofErr w:type="spellEnd"/>
            <w:r w:rsidRPr="00D83C7B">
              <w:rPr>
                <w:rFonts w:asciiTheme="majorHAnsi" w:eastAsiaTheme="minorEastAsia" w:hAnsiTheme="majorHAnsi" w:cstheme="majorHAnsi"/>
              </w:rPr>
              <w:t>, assessment tools and provision mapping.</w:t>
            </w:r>
          </w:p>
          <w:p w14:paraId="362BF1D8"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Collaboration:</w:t>
            </w:r>
            <w:r w:rsidRPr="00D83C7B">
              <w:rPr>
                <w:rFonts w:asciiTheme="majorHAnsi" w:eastAsiaTheme="minorEastAsia" w:hAnsiTheme="majorHAnsi" w:cstheme="majorHAnsi"/>
              </w:rPr>
              <w:t xml:space="preserve"> Work closely with school SENDCos, senior leaders, and external agencies to ensure effective provision.</w:t>
            </w:r>
          </w:p>
          <w:p w14:paraId="4EE9CD66"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Transition Support:</w:t>
            </w:r>
            <w:r w:rsidRPr="00D83C7B">
              <w:rPr>
                <w:rFonts w:asciiTheme="majorHAnsi" w:eastAsiaTheme="minorEastAsia" w:hAnsiTheme="majorHAnsi" w:cstheme="majorHAnsi"/>
              </w:rPr>
              <w:t xml:space="preserve"> Provide guidance around transition planning for pupils with SEND between key stages and schools – with a particular focus on strengthening the transition programme between GLF schools. </w:t>
            </w:r>
          </w:p>
          <w:p w14:paraId="7A79AB67" w14:textId="77777777" w:rsidR="00580B86" w:rsidRPr="00D83C7B" w:rsidRDefault="00580B86" w:rsidP="00580B86">
            <w:pPr>
              <w:pStyle w:val="ListParagraph"/>
              <w:numPr>
                <w:ilvl w:val="0"/>
                <w:numId w:val="4"/>
              </w:numPr>
              <w:spacing w:line="300" w:lineRule="auto"/>
              <w:jc w:val="left"/>
              <w:rPr>
                <w:rFonts w:asciiTheme="majorHAnsi" w:hAnsiTheme="majorHAnsi" w:cstheme="majorHAnsi"/>
              </w:rPr>
            </w:pPr>
            <w:r w:rsidRPr="00D83C7B">
              <w:rPr>
                <w:rFonts w:asciiTheme="majorHAnsi" w:eastAsiaTheme="minorEastAsia" w:hAnsiTheme="majorHAnsi" w:cstheme="majorHAnsi"/>
                <w:b/>
                <w:bCs/>
              </w:rPr>
              <w:t>Parent Engagement:</w:t>
            </w:r>
            <w:r w:rsidRPr="00D83C7B">
              <w:rPr>
                <w:rFonts w:asciiTheme="majorHAnsi" w:eastAsiaTheme="minorEastAsia" w:hAnsiTheme="majorHAnsi" w:cstheme="majorHAnsi"/>
              </w:rPr>
              <w:t xml:space="preserve"> Support schools in building positive relationships with parents and carers of pupils with SEND.</w:t>
            </w:r>
          </w:p>
          <w:p w14:paraId="7ED023B0" w14:textId="77777777" w:rsidR="00BB06C0" w:rsidRPr="00D83C7B" w:rsidRDefault="00BB06C0" w:rsidP="00BB06C0">
            <w:pPr>
              <w:ind w:left="720"/>
              <w:rPr>
                <w:rFonts w:asciiTheme="majorHAnsi" w:eastAsia="Open Sans" w:hAnsiTheme="majorHAnsi" w:cstheme="majorHAnsi"/>
              </w:rPr>
            </w:pPr>
          </w:p>
          <w:p w14:paraId="7197A115" w14:textId="77777777" w:rsidR="00BB06C0" w:rsidRPr="00D83C7B" w:rsidRDefault="00BB06C0" w:rsidP="00BB06C0">
            <w:pPr>
              <w:ind w:left="720"/>
              <w:rPr>
                <w:rFonts w:asciiTheme="majorHAnsi" w:eastAsia="Open Sans" w:hAnsiTheme="majorHAnsi" w:cstheme="majorHAnsi"/>
              </w:rPr>
            </w:pPr>
          </w:p>
        </w:tc>
      </w:tr>
      <w:tr w:rsidR="00DE12F4" w:rsidRPr="00D83C7B" w14:paraId="7197A118" w14:textId="77777777">
        <w:tc>
          <w:tcPr>
            <w:tcW w:w="9016" w:type="dxa"/>
            <w:gridSpan w:val="4"/>
            <w:shd w:val="clear" w:color="auto" w:fill="DBE5F1"/>
          </w:tcPr>
          <w:p w14:paraId="7197A117" w14:textId="77777777" w:rsidR="00DE12F4" w:rsidRPr="00D83C7B" w:rsidRDefault="00C00F36">
            <w:pPr>
              <w:rPr>
                <w:rFonts w:asciiTheme="majorHAnsi" w:eastAsia="Open Sans" w:hAnsiTheme="majorHAnsi" w:cstheme="majorHAnsi"/>
                <w:b/>
                <w:bCs/>
              </w:rPr>
            </w:pPr>
            <w:r w:rsidRPr="00D83C7B">
              <w:rPr>
                <w:rFonts w:asciiTheme="majorHAnsi" w:eastAsia="Open Sans" w:hAnsiTheme="majorHAnsi" w:cstheme="majorHAnsi"/>
                <w:b/>
                <w:bCs/>
              </w:rPr>
              <w:lastRenderedPageBreak/>
              <w:t xml:space="preserve">Accountability </w:t>
            </w:r>
          </w:p>
        </w:tc>
      </w:tr>
      <w:tr w:rsidR="00DE12F4" w:rsidRPr="00D83C7B" w14:paraId="7197A11D" w14:textId="77777777">
        <w:tc>
          <w:tcPr>
            <w:tcW w:w="9016" w:type="dxa"/>
            <w:gridSpan w:val="4"/>
          </w:tcPr>
          <w:p w14:paraId="7197A119" w14:textId="77777777" w:rsidR="00DE12F4" w:rsidRPr="00D83C7B" w:rsidRDefault="00DE12F4">
            <w:pPr>
              <w:rPr>
                <w:rFonts w:asciiTheme="majorHAnsi" w:eastAsia="Open Sans" w:hAnsiTheme="majorHAnsi" w:cstheme="majorHAnsi"/>
              </w:rPr>
            </w:pPr>
          </w:p>
          <w:p w14:paraId="17EBC15F" w14:textId="27614B07" w:rsidR="00DE12F4" w:rsidRPr="00D83C7B" w:rsidRDefault="00580B86" w:rsidP="00BB06C0">
            <w:pPr>
              <w:rPr>
                <w:rFonts w:asciiTheme="majorHAnsi" w:eastAsia="Open Sans" w:hAnsiTheme="majorHAnsi" w:cstheme="majorHAnsi"/>
              </w:rPr>
            </w:pPr>
            <w:r w:rsidRPr="00D83C7B">
              <w:rPr>
                <w:rFonts w:asciiTheme="majorHAnsi" w:eastAsiaTheme="minorEastAsia" w:hAnsiTheme="majorHAnsi" w:cstheme="majorHAnsi"/>
                <w:b/>
                <w:bCs/>
              </w:rPr>
              <w:t>Reports to:</w:t>
            </w:r>
            <w:r w:rsidRPr="00D83C7B">
              <w:rPr>
                <w:rFonts w:asciiTheme="majorHAnsi" w:eastAsiaTheme="minorEastAsia" w:hAnsiTheme="majorHAnsi" w:cstheme="majorHAnsi"/>
              </w:rPr>
              <w:t xml:space="preserve"> Director of SEND, Inclusion and Vulnerable Groups</w:t>
            </w:r>
          </w:p>
          <w:p w14:paraId="49B3A492" w14:textId="77777777" w:rsidR="00BB06C0" w:rsidRPr="00D83C7B" w:rsidRDefault="00BB06C0" w:rsidP="00BB06C0">
            <w:pPr>
              <w:rPr>
                <w:rFonts w:asciiTheme="majorHAnsi" w:eastAsia="Open Sans" w:hAnsiTheme="majorHAnsi" w:cstheme="majorHAnsi"/>
              </w:rPr>
            </w:pPr>
          </w:p>
          <w:p w14:paraId="7197A11C" w14:textId="77777777" w:rsidR="00BB06C0" w:rsidRPr="00D83C7B" w:rsidRDefault="00BB06C0" w:rsidP="00BB06C0">
            <w:pPr>
              <w:rPr>
                <w:rFonts w:asciiTheme="majorHAnsi" w:eastAsia="Open Sans" w:hAnsiTheme="majorHAnsi" w:cstheme="majorHAnsi"/>
              </w:rPr>
            </w:pPr>
          </w:p>
        </w:tc>
      </w:tr>
      <w:tr w:rsidR="00D83C7B" w:rsidRPr="00D83C7B" w14:paraId="72BDDDA5" w14:textId="77777777" w:rsidTr="00D83C7B">
        <w:tc>
          <w:tcPr>
            <w:tcW w:w="9016" w:type="dxa"/>
            <w:gridSpan w:val="4"/>
            <w:shd w:val="clear" w:color="auto" w:fill="DBE5F1" w:themeFill="accent1" w:themeFillTint="33"/>
          </w:tcPr>
          <w:p w14:paraId="63CE0C61" w14:textId="3D141465" w:rsidR="00D83C7B" w:rsidRPr="00D83C7B" w:rsidRDefault="00D83C7B" w:rsidP="00D83C7B">
            <w:pPr>
              <w:rPr>
                <w:rFonts w:asciiTheme="majorHAnsi" w:eastAsia="Open Sans" w:hAnsiTheme="majorHAnsi" w:cstheme="majorHAnsi"/>
              </w:rPr>
            </w:pPr>
            <w:r w:rsidRPr="00D83C7B">
              <w:rPr>
                <w:rFonts w:asciiTheme="majorHAnsi" w:hAnsiTheme="majorHAnsi" w:cstheme="majorHAnsi"/>
                <w:b/>
                <w:bCs/>
              </w:rPr>
              <w:t>Collaborative Working</w:t>
            </w:r>
          </w:p>
        </w:tc>
      </w:tr>
      <w:tr w:rsidR="00D83C7B" w:rsidRPr="00D83C7B" w14:paraId="004B298A" w14:textId="77777777">
        <w:tc>
          <w:tcPr>
            <w:tcW w:w="9016" w:type="dxa"/>
            <w:gridSpan w:val="4"/>
          </w:tcPr>
          <w:p w14:paraId="37061B1E" w14:textId="465F4AA5" w:rsidR="00D83C7B" w:rsidRPr="00D83C7B" w:rsidRDefault="00D83C7B" w:rsidP="00D83C7B">
            <w:pPr>
              <w:rPr>
                <w:rFonts w:asciiTheme="majorHAnsi" w:eastAsia="Open Sans" w:hAnsiTheme="majorHAnsi" w:cstheme="majorHAnsi"/>
              </w:rPr>
            </w:pPr>
            <w:r w:rsidRPr="00D83C7B">
              <w:rPr>
                <w:rStyle w:val="normaltextrun"/>
                <w:rFonts w:asciiTheme="majorHAnsi" w:hAnsiTheme="majorHAnsi" w:cstheme="majorHAnsi"/>
                <w:color w:val="242424"/>
                <w:shd w:val="clear" w:color="auto" w:fill="FFFFFF"/>
              </w:rPr>
              <w:t>GLF Schools promotes a cross-cluster collaborative approach, allowing colleagues to share expertise and experience, ensuring all children in our schools receive an excellent education and reach their potential. Through this cluster model, GLF Schools is committed to providing opportunities for professional development and career progression.</w:t>
            </w:r>
            <w:r w:rsidRPr="00D83C7B">
              <w:rPr>
                <w:rStyle w:val="eop"/>
                <w:rFonts w:asciiTheme="majorHAnsi" w:hAnsiTheme="majorHAnsi" w:cstheme="majorHAnsi"/>
                <w:color w:val="242424"/>
                <w:shd w:val="clear" w:color="auto" w:fill="FFFFFF"/>
              </w:rPr>
              <w:t> </w:t>
            </w:r>
          </w:p>
        </w:tc>
      </w:tr>
      <w:tr w:rsidR="00DE12F4" w:rsidRPr="00D83C7B" w14:paraId="7197A11F" w14:textId="77777777">
        <w:tc>
          <w:tcPr>
            <w:tcW w:w="9016" w:type="dxa"/>
            <w:gridSpan w:val="4"/>
            <w:shd w:val="clear" w:color="auto" w:fill="DBE5F1"/>
          </w:tcPr>
          <w:p w14:paraId="7197A11E" w14:textId="77777777" w:rsidR="00DE12F4" w:rsidRPr="00D83C7B" w:rsidRDefault="00C00F36">
            <w:pPr>
              <w:rPr>
                <w:rFonts w:asciiTheme="majorHAnsi" w:eastAsia="Open Sans" w:hAnsiTheme="majorHAnsi" w:cstheme="majorHAnsi"/>
                <w:b/>
                <w:bCs/>
              </w:rPr>
            </w:pPr>
            <w:r w:rsidRPr="00D83C7B">
              <w:rPr>
                <w:rFonts w:asciiTheme="majorHAnsi" w:eastAsia="Open Sans" w:hAnsiTheme="majorHAnsi" w:cstheme="majorHAnsi"/>
                <w:b/>
                <w:bCs/>
              </w:rPr>
              <w:t>Safeguarding</w:t>
            </w:r>
          </w:p>
        </w:tc>
      </w:tr>
      <w:tr w:rsidR="00DE12F4" w:rsidRPr="00D83C7B" w14:paraId="7197A122" w14:textId="77777777">
        <w:tc>
          <w:tcPr>
            <w:tcW w:w="9016" w:type="dxa"/>
            <w:gridSpan w:val="4"/>
          </w:tcPr>
          <w:p w14:paraId="7197A120" w14:textId="77777777" w:rsidR="00DE12F4" w:rsidRPr="00D83C7B" w:rsidRDefault="00C00F36">
            <w:pPr>
              <w:spacing w:line="276" w:lineRule="auto"/>
              <w:rPr>
                <w:rFonts w:asciiTheme="majorHAnsi" w:hAnsiTheme="majorHAnsi" w:cstheme="majorHAnsi"/>
              </w:rPr>
            </w:pPr>
            <w:r w:rsidRPr="00D83C7B">
              <w:rPr>
                <w:rFonts w:asciiTheme="majorHAnsi" w:hAnsiTheme="majorHAnsi" w:cstheme="majorHAns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7197A121" w14:textId="77777777" w:rsidR="00DE12F4" w:rsidRPr="00D83C7B" w:rsidRDefault="00DE12F4">
            <w:pPr>
              <w:rPr>
                <w:rFonts w:asciiTheme="majorHAnsi" w:hAnsiTheme="majorHAnsi" w:cstheme="majorHAnsi"/>
              </w:rPr>
            </w:pPr>
          </w:p>
        </w:tc>
      </w:tr>
    </w:tbl>
    <w:p w14:paraId="7197A123" w14:textId="77777777" w:rsidR="00DE12F4" w:rsidRPr="00D83C7B" w:rsidRDefault="00DE12F4">
      <w:pPr>
        <w:rPr>
          <w:rFonts w:asciiTheme="majorHAnsi" w:hAnsiTheme="majorHAnsi" w:cstheme="majorHAnsi"/>
        </w:rPr>
      </w:pPr>
    </w:p>
    <w:sectPr w:rsidR="00DE12F4" w:rsidRPr="00D83C7B">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F613" w14:textId="77777777" w:rsidR="006C4066" w:rsidRDefault="006C4066">
      <w:pPr>
        <w:spacing w:line="240" w:lineRule="auto"/>
      </w:pPr>
      <w:r>
        <w:separator/>
      </w:r>
    </w:p>
  </w:endnote>
  <w:endnote w:type="continuationSeparator" w:id="0">
    <w:p w14:paraId="42FF56DF" w14:textId="77777777" w:rsidR="006C4066" w:rsidRDefault="006C4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67A3" w14:textId="77777777" w:rsidR="006C4066" w:rsidRDefault="006C4066">
      <w:pPr>
        <w:spacing w:line="240" w:lineRule="auto"/>
      </w:pPr>
      <w:r>
        <w:separator/>
      </w:r>
    </w:p>
  </w:footnote>
  <w:footnote w:type="continuationSeparator" w:id="0">
    <w:p w14:paraId="5D7074A1" w14:textId="77777777" w:rsidR="006C4066" w:rsidRDefault="006C4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A124" w14:textId="77777777" w:rsidR="00DE12F4" w:rsidRDefault="00C00F36">
    <w:pPr>
      <w:pBdr>
        <w:top w:val="nil"/>
        <w:left w:val="nil"/>
        <w:bottom w:val="nil"/>
        <w:right w:val="nil"/>
        <w:between w:val="nil"/>
      </w:pBdr>
      <w:tabs>
        <w:tab w:val="center" w:pos="4513"/>
        <w:tab w:val="right" w:pos="9026"/>
      </w:tabs>
      <w:spacing w:line="240" w:lineRule="auto"/>
      <w:rPr>
        <w:color w:val="000000"/>
      </w:rPr>
    </w:pPr>
    <w:r>
      <w:rPr>
        <w:color w:val="000000"/>
      </w:rPr>
      <w:tab/>
    </w:r>
    <w:r>
      <w:rPr>
        <w:color w:val="000000"/>
      </w:rPr>
      <w:tab/>
    </w: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7197A125" wp14:editId="7197A126">
          <wp:simplePos x="0" y="0"/>
          <wp:positionH relativeFrom="column">
            <wp:posOffset>-571499</wp:posOffset>
          </wp:positionH>
          <wp:positionV relativeFrom="paragraph">
            <wp:posOffset>-257174</wp:posOffset>
          </wp:positionV>
          <wp:extent cx="976413" cy="72390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976413"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11B"/>
    <w:multiLevelType w:val="multilevel"/>
    <w:tmpl w:val="0358A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DC2211"/>
    <w:multiLevelType w:val="multilevel"/>
    <w:tmpl w:val="5818E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041DF2"/>
    <w:multiLevelType w:val="multilevel"/>
    <w:tmpl w:val="27CAC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1F4E62"/>
    <w:multiLevelType w:val="hybridMultilevel"/>
    <w:tmpl w:val="FFA62BD4"/>
    <w:lvl w:ilvl="0" w:tplc="AA7AAF1E">
      <w:start w:val="1"/>
      <w:numFmt w:val="bullet"/>
      <w:lvlText w:val=""/>
      <w:lvlJc w:val="left"/>
      <w:pPr>
        <w:ind w:left="720" w:hanging="360"/>
      </w:pPr>
      <w:rPr>
        <w:rFonts w:ascii="Symbol" w:hAnsi="Symbol" w:hint="default"/>
      </w:rPr>
    </w:lvl>
    <w:lvl w:ilvl="1" w:tplc="8C286340">
      <w:start w:val="1"/>
      <w:numFmt w:val="bullet"/>
      <w:lvlText w:val="o"/>
      <w:lvlJc w:val="left"/>
      <w:pPr>
        <w:ind w:left="1440" w:hanging="360"/>
      </w:pPr>
      <w:rPr>
        <w:rFonts w:ascii="Courier New" w:hAnsi="Courier New" w:hint="default"/>
      </w:rPr>
    </w:lvl>
    <w:lvl w:ilvl="2" w:tplc="0B041B18">
      <w:start w:val="1"/>
      <w:numFmt w:val="bullet"/>
      <w:lvlText w:val=""/>
      <w:lvlJc w:val="left"/>
      <w:pPr>
        <w:ind w:left="2160" w:hanging="360"/>
      </w:pPr>
      <w:rPr>
        <w:rFonts w:ascii="Wingdings" w:hAnsi="Wingdings" w:hint="default"/>
      </w:rPr>
    </w:lvl>
    <w:lvl w:ilvl="3" w:tplc="D8609E78">
      <w:start w:val="1"/>
      <w:numFmt w:val="bullet"/>
      <w:lvlText w:val=""/>
      <w:lvlJc w:val="left"/>
      <w:pPr>
        <w:ind w:left="2880" w:hanging="360"/>
      </w:pPr>
      <w:rPr>
        <w:rFonts w:ascii="Symbol" w:hAnsi="Symbol" w:hint="default"/>
      </w:rPr>
    </w:lvl>
    <w:lvl w:ilvl="4" w:tplc="FEDE4088">
      <w:start w:val="1"/>
      <w:numFmt w:val="bullet"/>
      <w:lvlText w:val="o"/>
      <w:lvlJc w:val="left"/>
      <w:pPr>
        <w:ind w:left="3600" w:hanging="360"/>
      </w:pPr>
      <w:rPr>
        <w:rFonts w:ascii="Courier New" w:hAnsi="Courier New" w:hint="default"/>
      </w:rPr>
    </w:lvl>
    <w:lvl w:ilvl="5" w:tplc="36F49B5A">
      <w:start w:val="1"/>
      <w:numFmt w:val="bullet"/>
      <w:lvlText w:val=""/>
      <w:lvlJc w:val="left"/>
      <w:pPr>
        <w:ind w:left="4320" w:hanging="360"/>
      </w:pPr>
      <w:rPr>
        <w:rFonts w:ascii="Wingdings" w:hAnsi="Wingdings" w:hint="default"/>
      </w:rPr>
    </w:lvl>
    <w:lvl w:ilvl="6" w:tplc="6D2A4990">
      <w:start w:val="1"/>
      <w:numFmt w:val="bullet"/>
      <w:lvlText w:val=""/>
      <w:lvlJc w:val="left"/>
      <w:pPr>
        <w:ind w:left="5040" w:hanging="360"/>
      </w:pPr>
      <w:rPr>
        <w:rFonts w:ascii="Symbol" w:hAnsi="Symbol" w:hint="default"/>
      </w:rPr>
    </w:lvl>
    <w:lvl w:ilvl="7" w:tplc="71BA82BC">
      <w:start w:val="1"/>
      <w:numFmt w:val="bullet"/>
      <w:lvlText w:val="o"/>
      <w:lvlJc w:val="left"/>
      <w:pPr>
        <w:ind w:left="5760" w:hanging="360"/>
      </w:pPr>
      <w:rPr>
        <w:rFonts w:ascii="Courier New" w:hAnsi="Courier New" w:hint="default"/>
      </w:rPr>
    </w:lvl>
    <w:lvl w:ilvl="8" w:tplc="DFF073CE">
      <w:start w:val="1"/>
      <w:numFmt w:val="bullet"/>
      <w:lvlText w:val=""/>
      <w:lvlJc w:val="left"/>
      <w:pPr>
        <w:ind w:left="6480" w:hanging="360"/>
      </w:pPr>
      <w:rPr>
        <w:rFonts w:ascii="Wingdings" w:hAnsi="Wingdings" w:hint="default"/>
      </w:rPr>
    </w:lvl>
  </w:abstractNum>
  <w:num w:numId="1" w16cid:durableId="754060638">
    <w:abstractNumId w:val="2"/>
  </w:num>
  <w:num w:numId="2" w16cid:durableId="2081441451">
    <w:abstractNumId w:val="1"/>
  </w:num>
  <w:num w:numId="3" w16cid:durableId="2097363009">
    <w:abstractNumId w:val="0"/>
  </w:num>
  <w:num w:numId="4" w16cid:durableId="1456482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F4"/>
    <w:rsid w:val="000003C6"/>
    <w:rsid w:val="00032032"/>
    <w:rsid w:val="00096CB0"/>
    <w:rsid w:val="000C5261"/>
    <w:rsid w:val="001200A5"/>
    <w:rsid w:val="001335A4"/>
    <w:rsid w:val="00160821"/>
    <w:rsid w:val="001800BD"/>
    <w:rsid w:val="00202A0A"/>
    <w:rsid w:val="00267B8A"/>
    <w:rsid w:val="00327154"/>
    <w:rsid w:val="00347AB2"/>
    <w:rsid w:val="0038160B"/>
    <w:rsid w:val="003B49D8"/>
    <w:rsid w:val="004437D9"/>
    <w:rsid w:val="004911B7"/>
    <w:rsid w:val="004B74A7"/>
    <w:rsid w:val="004F42DE"/>
    <w:rsid w:val="00555D35"/>
    <w:rsid w:val="00580B86"/>
    <w:rsid w:val="005E452F"/>
    <w:rsid w:val="006609EC"/>
    <w:rsid w:val="006C4066"/>
    <w:rsid w:val="00777CDA"/>
    <w:rsid w:val="007A2296"/>
    <w:rsid w:val="007A7A54"/>
    <w:rsid w:val="007F14E3"/>
    <w:rsid w:val="0093028E"/>
    <w:rsid w:val="009C46CE"/>
    <w:rsid w:val="00A0454D"/>
    <w:rsid w:val="00AA784B"/>
    <w:rsid w:val="00B1068E"/>
    <w:rsid w:val="00B16E52"/>
    <w:rsid w:val="00BB06C0"/>
    <w:rsid w:val="00C00F36"/>
    <w:rsid w:val="00C37B39"/>
    <w:rsid w:val="00CA1117"/>
    <w:rsid w:val="00CA1DB9"/>
    <w:rsid w:val="00CB2F4A"/>
    <w:rsid w:val="00CE52B6"/>
    <w:rsid w:val="00D83C7B"/>
    <w:rsid w:val="00DE12F4"/>
    <w:rsid w:val="00ED1CC5"/>
    <w:rsid w:val="00F36632"/>
    <w:rsid w:val="00F9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A0EA"/>
  <w15:docId w15:val="{7A044ADE-8E6B-4A03-A3C9-F0E642A9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ListParagraph">
    <w:name w:val="List Paragraph"/>
    <w:basedOn w:val="Normal"/>
    <w:uiPriority w:val="34"/>
    <w:qFormat/>
    <w:rsid w:val="007A7A54"/>
    <w:pPr>
      <w:ind w:left="720"/>
      <w:contextualSpacing/>
    </w:pPr>
  </w:style>
  <w:style w:type="character" w:customStyle="1" w:styleId="normaltextrun">
    <w:name w:val="normaltextrun"/>
    <w:basedOn w:val="DefaultParagraphFont"/>
    <w:rsid w:val="00D83C7B"/>
  </w:style>
  <w:style w:type="character" w:customStyle="1" w:styleId="eop">
    <w:name w:val="eop"/>
    <w:basedOn w:val="DefaultParagraphFont"/>
    <w:rsid w:val="00D8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2955</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Sullivan</dc:creator>
  <cp:lastModifiedBy>Katie Sullivan</cp:lastModifiedBy>
  <cp:revision>2</cp:revision>
  <dcterms:created xsi:type="dcterms:W3CDTF">2025-12-04T12:38:00Z</dcterms:created>
  <dcterms:modified xsi:type="dcterms:W3CDTF">2025-12-04T12:38:00Z</dcterms:modified>
</cp:coreProperties>
</file>