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F0B9F" w14:textId="4C40930D" w:rsidR="00B268D9" w:rsidRDefault="00B268D9" w:rsidP="00B268D9">
      <w:pPr>
        <w:pStyle w:val="Heading1"/>
        <w:rPr>
          <w:rFonts w:ascii="Century Gothic" w:hAnsi="Century Gothic"/>
          <w:color w:val="auto"/>
        </w:rPr>
      </w:pPr>
      <w:r w:rsidRPr="00B268D9">
        <w:rPr>
          <w:rFonts w:ascii="Century Gothic" w:hAnsi="Century Gothic"/>
          <w:noProof/>
          <w:color w:val="auto"/>
        </w:rPr>
        <w:drawing>
          <wp:inline distT="0" distB="0" distL="0" distR="0" wp14:anchorId="64563091" wp14:editId="4797758A">
            <wp:extent cx="6858000" cy="859790"/>
            <wp:effectExtent l="0" t="0" r="0" b="0"/>
            <wp:docPr id="4226171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17175" name="Picture 1" descr="A close-up of a logo&#10;&#10;Description automatically generated"/>
                    <pic:cNvPicPr/>
                  </pic:nvPicPr>
                  <pic:blipFill rotWithShape="1">
                    <a:blip r:embed="rId7"/>
                    <a:srcRect t="3217" b="-1"/>
                    <a:stretch/>
                  </pic:blipFill>
                  <pic:spPr bwMode="auto">
                    <a:xfrm>
                      <a:off x="0" y="0"/>
                      <a:ext cx="6858000" cy="859790"/>
                    </a:xfrm>
                    <a:prstGeom prst="rect">
                      <a:avLst/>
                    </a:prstGeom>
                    <a:ln>
                      <a:noFill/>
                    </a:ln>
                    <a:extLst>
                      <a:ext uri="{53640926-AAD7-44D8-BBD7-CCE9431645EC}">
                        <a14:shadowObscured xmlns:a14="http://schemas.microsoft.com/office/drawing/2010/main"/>
                      </a:ext>
                    </a:extLst>
                  </pic:spPr>
                </pic:pic>
              </a:graphicData>
            </a:graphic>
          </wp:inline>
        </w:drawing>
      </w:r>
    </w:p>
    <w:p w14:paraId="7577A866" w14:textId="6EA73DB3" w:rsidR="00B268D9" w:rsidRPr="00137D22" w:rsidRDefault="00B268D9" w:rsidP="00B268D9">
      <w:pPr>
        <w:pStyle w:val="Heading1"/>
        <w:rPr>
          <w:rFonts w:ascii="Century Gothic" w:hAnsi="Century Gothic"/>
          <w:b/>
          <w:bCs/>
          <w:sz w:val="32"/>
          <w:szCs w:val="32"/>
        </w:rPr>
      </w:pPr>
      <w:r w:rsidRPr="00137D22">
        <w:rPr>
          <w:rFonts w:ascii="Century Gothic" w:hAnsi="Century Gothic"/>
          <w:b/>
          <w:bCs/>
          <w:sz w:val="32"/>
          <w:szCs w:val="32"/>
        </w:rPr>
        <w:t>Job Profile</w:t>
      </w:r>
    </w:p>
    <w:p w14:paraId="14B307C8" w14:textId="797918DD" w:rsidR="002246F4" w:rsidRDefault="00B268D9" w:rsidP="00137D22">
      <w:pPr>
        <w:rPr>
          <w:rFonts w:ascii="Century Gothic" w:hAnsi="Century Gothic"/>
          <w:sz w:val="24"/>
          <w:szCs w:val="24"/>
        </w:rPr>
      </w:pPr>
      <w:r w:rsidRPr="00137D22">
        <w:rPr>
          <w:rFonts w:ascii="Century Gothic" w:hAnsi="Century Gothic"/>
          <w:sz w:val="24"/>
          <w:szCs w:val="24"/>
        </w:rPr>
        <w:t>Job Title: HR and Personnel Senior Officer</w:t>
      </w:r>
      <w:r w:rsidRPr="00137D22">
        <w:rPr>
          <w:rFonts w:ascii="Century Gothic" w:hAnsi="Century Gothic"/>
          <w:sz w:val="24"/>
          <w:szCs w:val="24"/>
        </w:rPr>
        <w:br/>
        <w:t>Grade: D/E</w:t>
      </w:r>
      <w:r w:rsidRPr="00137D22">
        <w:rPr>
          <w:rFonts w:ascii="Century Gothic" w:hAnsi="Century Gothic"/>
          <w:sz w:val="24"/>
          <w:szCs w:val="24"/>
        </w:rPr>
        <w:br/>
        <w:t>Hours: 25 per week, 39 weeks + 6 additional weeks (flexible/hybrid working considered)</w:t>
      </w:r>
      <w:r w:rsidRPr="00137D22">
        <w:rPr>
          <w:rFonts w:ascii="Century Gothic" w:hAnsi="Century Gothic"/>
          <w:sz w:val="24"/>
          <w:szCs w:val="24"/>
        </w:rPr>
        <w:br/>
        <w:t>Responsible to: School Business Manager / Headteacher</w:t>
      </w:r>
      <w:r w:rsidRPr="00137D22">
        <w:rPr>
          <w:rFonts w:ascii="Century Gothic" w:hAnsi="Century Gothic"/>
          <w:sz w:val="24"/>
          <w:szCs w:val="24"/>
        </w:rPr>
        <w:br/>
        <w:t xml:space="preserve">Location: </w:t>
      </w:r>
      <w:r w:rsidR="002246F4">
        <w:rPr>
          <w:rFonts w:ascii="Century Gothic" w:hAnsi="Century Gothic"/>
          <w:sz w:val="24"/>
          <w:szCs w:val="24"/>
        </w:rPr>
        <w:t xml:space="preserve"> Henry Tyndale School</w:t>
      </w:r>
    </w:p>
    <w:p w14:paraId="4345D948" w14:textId="2DBF086D" w:rsidR="00137D22" w:rsidRDefault="00B268D9" w:rsidP="00137D22">
      <w:pPr>
        <w:rPr>
          <w:rFonts w:ascii="Century Gothic" w:hAnsi="Century Gothic"/>
        </w:rPr>
      </w:pPr>
      <w:r w:rsidRPr="00137D22">
        <w:rPr>
          <w:rFonts w:ascii="Century Gothic" w:hAnsi="Century Gothic"/>
          <w:sz w:val="24"/>
          <w:szCs w:val="24"/>
        </w:rPr>
        <w:t>Role Purpose</w:t>
      </w:r>
      <w:r w:rsidRPr="00137D22">
        <w:rPr>
          <w:rFonts w:ascii="Century Gothic" w:hAnsi="Century Gothic"/>
          <w:sz w:val="24"/>
          <w:szCs w:val="24"/>
        </w:rPr>
        <w:br/>
        <w:t>To provide an efficient, accurate and confidential HR and personnel service, ensuring compliance with Hampshire County Council (HCC) policies and procedures (MOPP), safer recruitment, and statutory safeguarding guidance. To support the smooth operation of the school’s workforce functions and provide first-line HR advice, escalating to Hampshire HR Advisory as appropriate.</w:t>
      </w:r>
      <w:r w:rsidRPr="00137D22">
        <w:rPr>
          <w:rFonts w:ascii="Century Gothic" w:eastAsiaTheme="majorEastAsia" w:hAnsi="Century Gothic" w:cstheme="majorBidi"/>
          <w:color w:val="2F5496" w:themeColor="accent1" w:themeShade="BF"/>
          <w:sz w:val="40"/>
          <w:szCs w:val="40"/>
          <w:lang w:val="en-GB"/>
        </w:rPr>
        <w:br/>
      </w:r>
    </w:p>
    <w:p w14:paraId="102B6E5E" w14:textId="69036BA7" w:rsidR="00B268D9" w:rsidRPr="00137D22" w:rsidRDefault="00B268D9" w:rsidP="00137D22">
      <w:pPr>
        <w:rPr>
          <w:rFonts w:ascii="Century Gothic" w:hAnsi="Century Gothic"/>
          <w:b/>
          <w:bCs/>
          <w:color w:val="4472C4" w:themeColor="accent1"/>
          <w:sz w:val="32"/>
          <w:szCs w:val="32"/>
        </w:rPr>
      </w:pPr>
      <w:r w:rsidRPr="00137D22">
        <w:rPr>
          <w:rFonts w:ascii="Century Gothic" w:hAnsi="Century Gothic"/>
          <w:b/>
          <w:bCs/>
          <w:color w:val="4472C4" w:themeColor="accent1"/>
          <w:sz w:val="32"/>
          <w:szCs w:val="32"/>
        </w:rPr>
        <w:t>Job Specification</w:t>
      </w:r>
    </w:p>
    <w:p w14:paraId="6D35B967" w14:textId="77777777" w:rsidR="00B268D9" w:rsidRPr="00AD5CB6" w:rsidRDefault="00B268D9" w:rsidP="00B268D9">
      <w:pPr>
        <w:pStyle w:val="Heading2"/>
        <w:rPr>
          <w:rFonts w:ascii="Century Gothic" w:hAnsi="Century Gothic"/>
          <w:color w:val="auto"/>
          <w:sz w:val="24"/>
          <w:szCs w:val="24"/>
        </w:rPr>
      </w:pPr>
      <w:r w:rsidRPr="00AD5CB6">
        <w:rPr>
          <w:rFonts w:ascii="Century Gothic" w:hAnsi="Century Gothic"/>
          <w:color w:val="auto"/>
          <w:sz w:val="24"/>
          <w:szCs w:val="24"/>
        </w:rPr>
        <w:t>Key Accountabilities</w:t>
      </w:r>
    </w:p>
    <w:p w14:paraId="41169988"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Administer all aspects of the HR lifecycle, including recruitment, pre-employment checks, contracts, variations, and leavers.</w:t>
      </w:r>
    </w:p>
    <w:p w14:paraId="1B0CCCA7"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Maintain and update the Single Central Record (SCR), ensuring compliance with Keeping Children Safe in Education (</w:t>
      </w:r>
      <w:proofErr w:type="spellStart"/>
      <w:r w:rsidRPr="00AD5CB6">
        <w:rPr>
          <w:rFonts w:ascii="Century Gothic" w:hAnsi="Century Gothic"/>
          <w:sz w:val="24"/>
          <w:szCs w:val="24"/>
        </w:rPr>
        <w:t>KCSiE</w:t>
      </w:r>
      <w:proofErr w:type="spellEnd"/>
      <w:r w:rsidRPr="00AD5CB6">
        <w:rPr>
          <w:rFonts w:ascii="Century Gothic" w:hAnsi="Century Gothic"/>
          <w:sz w:val="24"/>
          <w:szCs w:val="24"/>
        </w:rPr>
        <w:t>) and HCC policies.</w:t>
      </w:r>
    </w:p>
    <w:p w14:paraId="5513D8C4"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Provide first-line advice to staff and managers on HR policies, escalating to Hampshire HR Advisory as appropriate.</w:t>
      </w:r>
    </w:p>
    <w:p w14:paraId="756FB695"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Process payroll and HR changes through IBC accurately and within deadlines.</w:t>
      </w:r>
    </w:p>
    <w:p w14:paraId="59BC7B19"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Maintain up-to-date personnel files and ensure GDPR compliance.</w:t>
      </w:r>
    </w:p>
    <w:p w14:paraId="2ECB496C"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Monitor and record staff absence; support managers with the administration of attendance processes and referrals to Occupational Health.</w:t>
      </w:r>
    </w:p>
    <w:p w14:paraId="47CC77D2"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Administer staff training and induction records, providing reports on compliance.</w:t>
      </w:r>
    </w:p>
    <w:p w14:paraId="0A1D86FD"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Support the School Business Manager and Headteacher with workforce data, including producing reports for SLT and governors.</w:t>
      </w:r>
    </w:p>
    <w:p w14:paraId="29D04744"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lastRenderedPageBreak/>
        <w:t>- Liaise with Hampshire Personnel (HR Advisory) on complex casework, ensuring accurate records and timely information are available.</w:t>
      </w:r>
    </w:p>
    <w:p w14:paraId="364ACDC0"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Uphold safeguarding responsibilities in all aspects of the role.</w:t>
      </w:r>
    </w:p>
    <w:p w14:paraId="6EC4149E" w14:textId="77777777" w:rsidR="00B268D9" w:rsidRPr="00AD5CB6" w:rsidRDefault="00B268D9" w:rsidP="00B268D9">
      <w:pPr>
        <w:pStyle w:val="Heading2"/>
        <w:rPr>
          <w:rFonts w:ascii="Century Gothic" w:hAnsi="Century Gothic"/>
          <w:color w:val="auto"/>
          <w:sz w:val="24"/>
          <w:szCs w:val="24"/>
        </w:rPr>
      </w:pPr>
      <w:r w:rsidRPr="00AD5CB6">
        <w:rPr>
          <w:rFonts w:ascii="Century Gothic" w:hAnsi="Century Gothic"/>
          <w:color w:val="auto"/>
          <w:sz w:val="24"/>
          <w:szCs w:val="24"/>
        </w:rPr>
        <w:t>Person Specification</w:t>
      </w:r>
    </w:p>
    <w:p w14:paraId="7357D161" w14:textId="77777777" w:rsidR="00B268D9" w:rsidRPr="00AD5CB6" w:rsidRDefault="00B268D9" w:rsidP="00B268D9">
      <w:pPr>
        <w:pStyle w:val="Heading3"/>
        <w:rPr>
          <w:rFonts w:ascii="Century Gothic" w:hAnsi="Century Gothic"/>
          <w:color w:val="auto"/>
          <w:sz w:val="24"/>
          <w:szCs w:val="24"/>
        </w:rPr>
      </w:pPr>
      <w:r w:rsidRPr="00AD5CB6">
        <w:rPr>
          <w:rFonts w:ascii="Century Gothic" w:hAnsi="Century Gothic"/>
          <w:color w:val="auto"/>
          <w:sz w:val="24"/>
          <w:szCs w:val="24"/>
        </w:rPr>
        <w:t>Essential</w:t>
      </w:r>
    </w:p>
    <w:p w14:paraId="0B086A4E"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HR or personnel administration experience</w:t>
      </w:r>
    </w:p>
    <w:p w14:paraId="5CE2F3BF"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Knowledge of recruitment and HR processes</w:t>
      </w:r>
    </w:p>
    <w:p w14:paraId="09ADD62F"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Ability to work accurately and confidentially</w:t>
      </w:r>
    </w:p>
    <w:p w14:paraId="6CFE7CD9"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Good ICT skills (MS Office; HR/payroll systems)</w:t>
      </w:r>
    </w:p>
    <w:p w14:paraId="7A087E60"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xml:space="preserve">- Strong </w:t>
      </w:r>
      <w:proofErr w:type="spellStart"/>
      <w:r w:rsidRPr="00AD5CB6">
        <w:rPr>
          <w:rFonts w:ascii="Century Gothic" w:hAnsi="Century Gothic"/>
          <w:sz w:val="24"/>
          <w:szCs w:val="24"/>
        </w:rPr>
        <w:t>organisational</w:t>
      </w:r>
      <w:proofErr w:type="spellEnd"/>
      <w:r w:rsidRPr="00AD5CB6">
        <w:rPr>
          <w:rFonts w:ascii="Century Gothic" w:hAnsi="Century Gothic"/>
          <w:sz w:val="24"/>
          <w:szCs w:val="24"/>
        </w:rPr>
        <w:t xml:space="preserve"> skills and ability to </w:t>
      </w:r>
      <w:proofErr w:type="spellStart"/>
      <w:r w:rsidRPr="00AD5CB6">
        <w:rPr>
          <w:rFonts w:ascii="Century Gothic" w:hAnsi="Century Gothic"/>
          <w:sz w:val="24"/>
          <w:szCs w:val="24"/>
        </w:rPr>
        <w:t>prioritise</w:t>
      </w:r>
      <w:proofErr w:type="spellEnd"/>
    </w:p>
    <w:p w14:paraId="32E5184B"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Excellent interpersonal and communication skills</w:t>
      </w:r>
    </w:p>
    <w:p w14:paraId="19E1D2FC"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Understanding of safeguarding and safer recruitment</w:t>
      </w:r>
    </w:p>
    <w:p w14:paraId="0767C9F1" w14:textId="77777777" w:rsidR="00B268D9" w:rsidRPr="00AD5CB6" w:rsidRDefault="00B268D9" w:rsidP="00B268D9">
      <w:pPr>
        <w:pStyle w:val="Heading3"/>
        <w:rPr>
          <w:rFonts w:ascii="Century Gothic" w:hAnsi="Century Gothic"/>
          <w:color w:val="auto"/>
          <w:sz w:val="24"/>
          <w:szCs w:val="24"/>
        </w:rPr>
      </w:pPr>
      <w:r w:rsidRPr="00AD5CB6">
        <w:rPr>
          <w:rFonts w:ascii="Century Gothic" w:hAnsi="Century Gothic"/>
          <w:color w:val="auto"/>
          <w:sz w:val="24"/>
          <w:szCs w:val="24"/>
        </w:rPr>
        <w:t>Desirable</w:t>
      </w:r>
    </w:p>
    <w:p w14:paraId="33BAE576"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CIPD Level 3 (or working towards)</w:t>
      </w:r>
    </w:p>
    <w:p w14:paraId="2401C193"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Experience with Hampshire IBC payroll system and/or Arbor MIS</w:t>
      </w:r>
    </w:p>
    <w:p w14:paraId="726BF8D8"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Experience of working in an educational or special school setting</w:t>
      </w:r>
    </w:p>
    <w:p w14:paraId="33366B82" w14:textId="77777777" w:rsidR="00B268D9" w:rsidRPr="00AD5CB6" w:rsidRDefault="00B268D9" w:rsidP="00B268D9">
      <w:pPr>
        <w:pStyle w:val="Heading2"/>
        <w:rPr>
          <w:rFonts w:ascii="Century Gothic" w:hAnsi="Century Gothic"/>
          <w:color w:val="auto"/>
          <w:sz w:val="24"/>
          <w:szCs w:val="24"/>
        </w:rPr>
      </w:pPr>
      <w:r w:rsidRPr="00AD5CB6">
        <w:rPr>
          <w:rFonts w:ascii="Century Gothic" w:hAnsi="Century Gothic"/>
          <w:color w:val="auto"/>
          <w:sz w:val="24"/>
          <w:szCs w:val="24"/>
        </w:rPr>
        <w:t>Grade Mapping</w:t>
      </w:r>
    </w:p>
    <w:p w14:paraId="49C72993" w14:textId="77777777" w:rsidR="00B268D9" w:rsidRPr="00AD5CB6" w:rsidRDefault="00B268D9" w:rsidP="00B268D9">
      <w:pPr>
        <w:rPr>
          <w:rFonts w:ascii="Century Gothic" w:hAnsi="Century Gothic"/>
          <w:sz w:val="24"/>
          <w:szCs w:val="24"/>
        </w:rPr>
      </w:pPr>
      <w:r w:rsidRPr="00AD5CB6">
        <w:rPr>
          <w:rFonts w:ascii="Century Gothic" w:hAnsi="Century Gothic"/>
          <w:sz w:val="24"/>
          <w:szCs w:val="24"/>
        </w:rPr>
        <w:t>- Grade D: Skilled HR administrator with strong compliance responsibility.</w:t>
      </w:r>
      <w:r w:rsidRPr="00AD5CB6">
        <w:rPr>
          <w:rFonts w:ascii="Century Gothic" w:hAnsi="Century Gothic"/>
          <w:sz w:val="24"/>
          <w:szCs w:val="24"/>
        </w:rPr>
        <w:br/>
        <w:t>- Grade E: As above, plus greater autonomy in first-line advice, judgement calls within HCC frameworks, and supporting managers in informal casework.</w:t>
      </w:r>
      <w:r w:rsidRPr="00AD5CB6">
        <w:rPr>
          <w:rFonts w:ascii="Century Gothic" w:hAnsi="Century Gothic"/>
          <w:sz w:val="24"/>
          <w:szCs w:val="24"/>
        </w:rPr>
        <w:br/>
        <w:t>- Complex ER casework, policy interpretation, and restructures remain supported by Hampshire HR Advisory.</w:t>
      </w:r>
    </w:p>
    <w:p w14:paraId="7892D3F3" w14:textId="77777777" w:rsidR="00B268D9" w:rsidRPr="00AD5CB6" w:rsidRDefault="00B268D9" w:rsidP="00B268D9">
      <w:pPr>
        <w:pStyle w:val="Heading2"/>
        <w:rPr>
          <w:rFonts w:ascii="Century Gothic" w:hAnsi="Century Gothic"/>
          <w:color w:val="auto"/>
          <w:sz w:val="24"/>
          <w:szCs w:val="24"/>
        </w:rPr>
      </w:pPr>
      <w:r w:rsidRPr="00AD5CB6">
        <w:rPr>
          <w:rFonts w:ascii="Century Gothic" w:hAnsi="Century Gothic"/>
          <w:color w:val="auto"/>
          <w:sz w:val="24"/>
          <w:szCs w:val="24"/>
        </w:rPr>
        <w:t>Safeguarding &amp; Equal Opportunities Statement</w:t>
      </w:r>
    </w:p>
    <w:p w14:paraId="33DA1288" w14:textId="77777777" w:rsidR="00B268D9" w:rsidRPr="00AD5CB6" w:rsidRDefault="00B268D9" w:rsidP="00B268D9">
      <w:pPr>
        <w:pStyle w:val="Heading2"/>
        <w:rPr>
          <w:rFonts w:ascii="Century Gothic" w:hAnsi="Century Gothic"/>
          <w:b/>
          <w:bCs/>
          <w:color w:val="auto"/>
          <w:sz w:val="24"/>
          <w:szCs w:val="24"/>
        </w:rPr>
      </w:pPr>
      <w:r w:rsidRPr="00AD5CB6">
        <w:rPr>
          <w:rFonts w:ascii="Century Gothic" w:hAnsi="Century Gothic"/>
          <w:color w:val="auto"/>
          <w:sz w:val="24"/>
          <w:szCs w:val="24"/>
        </w:rPr>
        <w:t>We are committed to safeguarding and promoting the welfare of children and young people and expects all staff and volunteers to share this commitment. All successful candidates will be subject to an enhanced DBS check and satisfactory references. We are an equal opportunities employer and welcome applications from all suitably qualified individuals.</w:t>
      </w:r>
    </w:p>
    <w:p w14:paraId="7DF3C355" w14:textId="77777777" w:rsidR="003D211E" w:rsidRPr="00AD5CB6" w:rsidRDefault="003D211E">
      <w:pPr>
        <w:rPr>
          <w:rFonts w:ascii="Sassoon Primary Std" w:hAnsi="Sassoon Primary Std"/>
          <w:sz w:val="24"/>
          <w:szCs w:val="24"/>
        </w:rPr>
      </w:pPr>
    </w:p>
    <w:sectPr w:rsidR="003D211E" w:rsidRPr="00AD5CB6" w:rsidSect="00B268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 Primary Std">
    <w:panose1 w:val="020B0503020103030203"/>
    <w:charset w:val="00"/>
    <w:family w:val="swiss"/>
    <w:notTrueType/>
    <w:pitch w:val="variable"/>
    <w:sig w:usb0="800000AF" w:usb1="5000205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D9"/>
    <w:rsid w:val="00137D22"/>
    <w:rsid w:val="002246F4"/>
    <w:rsid w:val="003D211E"/>
    <w:rsid w:val="0064459C"/>
    <w:rsid w:val="00836C29"/>
    <w:rsid w:val="00931E32"/>
    <w:rsid w:val="00AD5CB6"/>
    <w:rsid w:val="00B268D9"/>
    <w:rsid w:val="00E63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780C"/>
  <w15:chartTrackingRefBased/>
  <w15:docId w15:val="{331816CB-B195-417A-B094-489FD11C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8D9"/>
    <w:pPr>
      <w:spacing w:after="200" w:line="276" w:lineRule="auto"/>
    </w:pPr>
    <w:rPr>
      <w:rFonts w:eastAsiaTheme="minorEastAsia"/>
      <w:lang w:val="en-US"/>
    </w:rPr>
  </w:style>
  <w:style w:type="paragraph" w:styleId="Heading1">
    <w:name w:val="heading 1"/>
    <w:basedOn w:val="Normal"/>
    <w:next w:val="Normal"/>
    <w:link w:val="Heading1Char"/>
    <w:uiPriority w:val="9"/>
    <w:qFormat/>
    <w:rsid w:val="00B268D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unhideWhenUsed/>
    <w:qFormat/>
    <w:rsid w:val="00B268D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unhideWhenUsed/>
    <w:qFormat/>
    <w:rsid w:val="00B268D9"/>
    <w:pPr>
      <w:keepNext/>
      <w:keepLines/>
      <w:spacing w:before="160" w:after="80" w:line="259" w:lineRule="auto"/>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B268D9"/>
    <w:pPr>
      <w:keepNext/>
      <w:keepLines/>
      <w:spacing w:before="80" w:after="40" w:line="259" w:lineRule="auto"/>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B268D9"/>
    <w:pPr>
      <w:keepNext/>
      <w:keepLines/>
      <w:spacing w:before="80" w:after="40" w:line="259" w:lineRule="auto"/>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B268D9"/>
    <w:pPr>
      <w:keepNext/>
      <w:keepLines/>
      <w:spacing w:before="40" w:after="0" w:line="259" w:lineRule="auto"/>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B268D9"/>
    <w:pPr>
      <w:keepNext/>
      <w:keepLines/>
      <w:spacing w:before="40" w:after="0" w:line="259" w:lineRule="auto"/>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B268D9"/>
    <w:pPr>
      <w:keepNext/>
      <w:keepLines/>
      <w:spacing w:after="0" w:line="259" w:lineRule="auto"/>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B268D9"/>
    <w:pPr>
      <w:keepNext/>
      <w:keepLines/>
      <w:spacing w:after="0" w:line="259" w:lineRule="auto"/>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6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68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8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8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8D9"/>
    <w:rPr>
      <w:rFonts w:eastAsiaTheme="majorEastAsia" w:cstheme="majorBidi"/>
      <w:color w:val="272727" w:themeColor="text1" w:themeTint="D8"/>
    </w:rPr>
  </w:style>
  <w:style w:type="paragraph" w:styleId="Title">
    <w:name w:val="Title"/>
    <w:basedOn w:val="Normal"/>
    <w:next w:val="Normal"/>
    <w:link w:val="TitleChar"/>
    <w:uiPriority w:val="10"/>
    <w:qFormat/>
    <w:rsid w:val="00B268D9"/>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B26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8D9"/>
    <w:pPr>
      <w:numPr>
        <w:ilvl w:val="1"/>
      </w:numPr>
      <w:spacing w:after="160" w:line="259"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B26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8D9"/>
    <w:pPr>
      <w:spacing w:before="160" w:after="160" w:line="259" w:lineRule="auto"/>
      <w:jc w:val="center"/>
    </w:pPr>
    <w:rPr>
      <w:rFonts w:eastAsiaTheme="minorHAnsi"/>
      <w:i/>
      <w:iCs/>
      <w:color w:val="404040" w:themeColor="text1" w:themeTint="BF"/>
      <w:lang w:val="en-GB"/>
    </w:rPr>
  </w:style>
  <w:style w:type="character" w:customStyle="1" w:styleId="QuoteChar">
    <w:name w:val="Quote Char"/>
    <w:basedOn w:val="DefaultParagraphFont"/>
    <w:link w:val="Quote"/>
    <w:uiPriority w:val="29"/>
    <w:rsid w:val="00B268D9"/>
    <w:rPr>
      <w:i/>
      <w:iCs/>
      <w:color w:val="404040" w:themeColor="text1" w:themeTint="BF"/>
    </w:rPr>
  </w:style>
  <w:style w:type="paragraph" w:styleId="ListParagraph">
    <w:name w:val="List Paragraph"/>
    <w:basedOn w:val="Normal"/>
    <w:uiPriority w:val="34"/>
    <w:qFormat/>
    <w:rsid w:val="00B268D9"/>
    <w:pPr>
      <w:spacing w:after="160" w:line="259" w:lineRule="auto"/>
      <w:ind w:left="720"/>
      <w:contextualSpacing/>
    </w:pPr>
    <w:rPr>
      <w:rFonts w:eastAsiaTheme="minorHAnsi"/>
      <w:lang w:val="en-GB"/>
    </w:rPr>
  </w:style>
  <w:style w:type="character" w:styleId="IntenseEmphasis">
    <w:name w:val="Intense Emphasis"/>
    <w:basedOn w:val="DefaultParagraphFont"/>
    <w:uiPriority w:val="21"/>
    <w:qFormat/>
    <w:rsid w:val="00B268D9"/>
    <w:rPr>
      <w:i/>
      <w:iCs/>
      <w:color w:val="2F5496" w:themeColor="accent1" w:themeShade="BF"/>
    </w:rPr>
  </w:style>
  <w:style w:type="paragraph" w:styleId="IntenseQuote">
    <w:name w:val="Intense Quote"/>
    <w:basedOn w:val="Normal"/>
    <w:next w:val="Normal"/>
    <w:link w:val="IntenseQuoteChar"/>
    <w:uiPriority w:val="30"/>
    <w:qFormat/>
    <w:rsid w:val="00B268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lang w:val="en-GB"/>
    </w:rPr>
  </w:style>
  <w:style w:type="character" w:customStyle="1" w:styleId="IntenseQuoteChar">
    <w:name w:val="Intense Quote Char"/>
    <w:basedOn w:val="DefaultParagraphFont"/>
    <w:link w:val="IntenseQuote"/>
    <w:uiPriority w:val="30"/>
    <w:rsid w:val="00B268D9"/>
    <w:rPr>
      <w:i/>
      <w:iCs/>
      <w:color w:val="2F5496" w:themeColor="accent1" w:themeShade="BF"/>
    </w:rPr>
  </w:style>
  <w:style w:type="character" w:styleId="IntenseReference">
    <w:name w:val="Intense Reference"/>
    <w:basedOn w:val="DefaultParagraphFont"/>
    <w:uiPriority w:val="32"/>
    <w:qFormat/>
    <w:rsid w:val="00B268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5D90F0893B947B9492BB187A28273" ma:contentTypeVersion="16" ma:contentTypeDescription="Create a new document." ma:contentTypeScope="" ma:versionID="234b63c4d7440bfa82a1a8a439ad55d9">
  <xsd:schema xmlns:xsd="http://www.w3.org/2001/XMLSchema" xmlns:xs="http://www.w3.org/2001/XMLSchema" xmlns:p="http://schemas.microsoft.com/office/2006/metadata/properties" xmlns:ns2="9aa5bd41-8bfc-4bb4-b44b-3ff9857b89ca" xmlns:ns3="dc27f8d2-3406-4c8c-bba2-d1bd495ca71b" targetNamespace="http://schemas.microsoft.com/office/2006/metadata/properties" ma:root="true" ma:fieldsID="dcce20c983697ba36ecaef4a78cc1da8" ns2:_="" ns3:_="">
    <xsd:import namespace="9aa5bd41-8bfc-4bb4-b44b-3ff9857b89ca"/>
    <xsd:import namespace="dc27f8d2-3406-4c8c-bba2-d1bd495ca71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5bd41-8bfc-4bb4-b44b-3ff9857b8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9baa9b-e114-4758-a35f-3834c8a5df6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7f8d2-3406-4c8c-bba2-d1bd495ca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759c36-6d50-40a7-9121-2fea39d2d70c}" ma:internalName="TaxCatchAll" ma:showField="CatchAllData" ma:web="dc27f8d2-3406-4c8c-bba2-d1bd495ca7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a5bd41-8bfc-4bb4-b44b-3ff9857b89ca">
      <Terms xmlns="http://schemas.microsoft.com/office/infopath/2007/PartnerControls"/>
    </lcf76f155ced4ddcb4097134ff3c332f>
    <TaxCatchAll xmlns="dc27f8d2-3406-4c8c-bba2-d1bd495ca71b" xsi:nil="true"/>
  </documentManagement>
</p:properties>
</file>

<file path=customXml/itemProps1.xml><?xml version="1.0" encoding="utf-8"?>
<ds:datastoreItem xmlns:ds="http://schemas.openxmlformats.org/officeDocument/2006/customXml" ds:itemID="{3DC2EE4D-CB7E-4BBA-87B5-C8B26CB94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5bd41-8bfc-4bb4-b44b-3ff9857b89ca"/>
    <ds:schemaRef ds:uri="dc27f8d2-3406-4c8c-bba2-d1bd495ca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BF323-01E5-409B-B871-B5B00E78CA69}">
  <ds:schemaRefs>
    <ds:schemaRef ds:uri="http://schemas.microsoft.com/sharepoint/v3/contenttype/forms"/>
  </ds:schemaRefs>
</ds:datastoreItem>
</file>

<file path=customXml/itemProps3.xml><?xml version="1.0" encoding="utf-8"?>
<ds:datastoreItem xmlns:ds="http://schemas.openxmlformats.org/officeDocument/2006/customXml" ds:itemID="{96855081-7E32-414E-91FD-F253A912252E}">
  <ds:schemaRefs>
    <ds:schemaRef ds:uri="http://schemas.microsoft.com/office/2006/metadata/properties"/>
    <ds:schemaRef ds:uri="http://schemas.microsoft.com/office/infopath/2007/PartnerControls"/>
    <ds:schemaRef ds:uri="9aa5bd41-8bfc-4bb4-b44b-3ff9857b89ca"/>
    <ds:schemaRef ds:uri="dc27f8d2-3406-4c8c-bba2-d1bd495ca71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Victoria</dc:creator>
  <cp:keywords/>
  <dc:description/>
  <cp:lastModifiedBy>Fleming, Victoria</cp:lastModifiedBy>
  <cp:revision>4</cp:revision>
  <dcterms:created xsi:type="dcterms:W3CDTF">2025-10-02T09:40:00Z</dcterms:created>
  <dcterms:modified xsi:type="dcterms:W3CDTF">2025-10-02T11:29:00Z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0x010100D445D90F0893B947B9492BB187A28273</vt:lpwstr>
  </property>
  <property fmtid="{D5CDD505-2E9C-101B-9397-08002B2CF9AE}" pid="3" name="MediaServiceImageTags">
    <vt:lpwstr/>
  </property>
</Properties>
</file>